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0C5" w:rsidRPr="00D37B62" w:rsidRDefault="00D37B62" w:rsidP="00D37B62">
      <w:pPr>
        <w:contextualSpacing/>
        <w:jc w:val="center"/>
        <w:rPr>
          <w:b/>
          <w:u w:val="single"/>
        </w:rPr>
      </w:pPr>
      <w:bookmarkStart w:id="0" w:name="_GoBack"/>
      <w:bookmarkEnd w:id="0"/>
      <w:r w:rsidRPr="00D37B62">
        <w:rPr>
          <w:b/>
          <w:u w:val="single"/>
        </w:rPr>
        <w:t>WILDFIRE AIRBORNE SENSOR PROGRAM (WASP)</w:t>
      </w:r>
    </w:p>
    <w:p w:rsidR="00D37B62" w:rsidRDefault="00D37B62" w:rsidP="00D37B62">
      <w:pPr>
        <w:contextualSpacing/>
        <w:rPr>
          <w:b/>
        </w:rPr>
      </w:pPr>
    </w:p>
    <w:p w:rsidR="007640C5" w:rsidRPr="00D37B62" w:rsidRDefault="007640C5" w:rsidP="00D37B62">
      <w:pPr>
        <w:contextualSpacing/>
        <w:rPr>
          <w:b/>
          <w:u w:val="single"/>
        </w:rPr>
      </w:pPr>
      <w:r w:rsidRPr="00D37B62">
        <w:rPr>
          <w:b/>
          <w:u w:val="single"/>
        </w:rPr>
        <w:t>Background</w:t>
      </w:r>
    </w:p>
    <w:p w:rsidR="007640C5" w:rsidRDefault="007640C5" w:rsidP="00D37B62">
      <w:pPr>
        <w:contextualSpacing/>
      </w:pPr>
      <w:r>
        <w:t>Originally developed under a NASA grant to investigate new airborne sensor technologies for wildfire detection and mapping. The system has been flying since 2003 and has undergone a number of significant upgrades during that time period. It is now suitable for use as a general purpose multispectral mapping system capable of delivering high resolution color o</w:t>
      </w:r>
      <w:r w:rsidR="00161B6A">
        <w:t xml:space="preserve">r thermal </w:t>
      </w:r>
      <w:r>
        <w:t>infrared, georeferenced images in near realtime after the aircraft lands or while in flight using a digital radio link.</w:t>
      </w:r>
    </w:p>
    <w:p w:rsidR="00D37B62" w:rsidRDefault="00D37B62" w:rsidP="00D37B62">
      <w:pPr>
        <w:contextualSpacing/>
        <w:rPr>
          <w:b/>
        </w:rPr>
      </w:pPr>
    </w:p>
    <w:p w:rsidR="007640C5" w:rsidRPr="00D37B62" w:rsidRDefault="007640C5" w:rsidP="00D37B62">
      <w:pPr>
        <w:contextualSpacing/>
        <w:rPr>
          <w:b/>
          <w:u w:val="single"/>
        </w:rPr>
      </w:pPr>
      <w:r w:rsidRPr="00D37B62">
        <w:rPr>
          <w:b/>
          <w:u w:val="single"/>
        </w:rPr>
        <w:t>System Description</w:t>
      </w:r>
    </w:p>
    <w:p w:rsidR="007640C5" w:rsidRPr="00D37B62" w:rsidRDefault="007640C5" w:rsidP="00D37B62">
      <w:pPr>
        <w:contextualSpacing/>
        <w:rPr>
          <w:b/>
        </w:rPr>
      </w:pPr>
      <w:r w:rsidRPr="00D37B62">
        <w:rPr>
          <w:b/>
        </w:rPr>
        <w:t>Imaging Sensors</w:t>
      </w:r>
    </w:p>
    <w:p w:rsidR="00161B6A" w:rsidRDefault="007640C5" w:rsidP="00D37B62">
      <w:pPr>
        <w:contextualSpacing/>
      </w:pPr>
      <w:r>
        <w:t xml:space="preserve">The WASP sensor suite includes  4 cameras mounted to a common framework. Each camera covers a different portion of the electromagnetic spectrum, allowing users to view a scene in any combination of color </w:t>
      </w:r>
      <w:r w:rsidR="00161B6A">
        <w:t>(or color-</w:t>
      </w:r>
      <w:r>
        <w:t xml:space="preserve">infrared), short wave infrared, midwave infrared, and long wave infrared. The cameras provide high </w:t>
      </w:r>
      <w:r w:rsidR="00D0121A">
        <w:t xml:space="preserve">spatial </w:t>
      </w:r>
      <w:r>
        <w:t>resolution</w:t>
      </w:r>
      <w:r w:rsidR="00D0121A">
        <w:t>,</w:t>
      </w:r>
      <w:r>
        <w:t xml:space="preserve"> able to resolve objects as small as </w:t>
      </w:r>
      <w:r w:rsidR="00161B6A">
        <w:t xml:space="preserve">4" in color (color-infrared) or 24" in the infrared. Temperature sensitivity in the thermal infrared (mid wave and long wave) is about 0.05 K. </w:t>
      </w:r>
      <w:r w:rsidR="00D0121A">
        <w:t>T</w:t>
      </w:r>
      <w:r w:rsidR="00161B6A">
        <w:t xml:space="preserve">he nominal field of view  for each camera is about 35 deg providing a ground swath of 2,000' at an altitude of 3,000' </w:t>
      </w:r>
      <w:r w:rsidR="00D37B62">
        <w:t>above ground level (</w:t>
      </w:r>
      <w:r w:rsidR="00161B6A">
        <w:t>AGL</w:t>
      </w:r>
      <w:r w:rsidR="00D37B62">
        <w:t>)</w:t>
      </w:r>
      <w:r w:rsidR="00161B6A">
        <w:t xml:space="preserve">. 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7"/>
        <w:gridCol w:w="1791"/>
        <w:gridCol w:w="1589"/>
        <w:gridCol w:w="1589"/>
        <w:gridCol w:w="1589"/>
      </w:tblGrid>
      <w:tr w:rsidR="00161B6A" w:rsidTr="00D37B62">
        <w:trPr>
          <w:jc w:val="center"/>
        </w:trPr>
        <w:tc>
          <w:tcPr>
            <w:tcW w:w="2257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791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Color</w:t>
            </w:r>
            <w:r w:rsidR="00884889" w:rsidRPr="00884889">
              <w:rPr>
                <w:sz w:val="20"/>
                <w:szCs w:val="20"/>
              </w:rPr>
              <w:t xml:space="preserve"> (RGB or CIR)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Shortwave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Midwave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Longwave</w:t>
            </w:r>
          </w:p>
        </w:tc>
      </w:tr>
      <w:tr w:rsidR="00161B6A" w:rsidTr="00D37B62">
        <w:trPr>
          <w:jc w:val="center"/>
        </w:trPr>
        <w:tc>
          <w:tcPr>
            <w:tcW w:w="2257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Imager array size</w:t>
            </w:r>
          </w:p>
        </w:tc>
        <w:tc>
          <w:tcPr>
            <w:tcW w:w="1791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4000 x 4000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640 x 512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640 x 512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640 x 512</w:t>
            </w:r>
          </w:p>
        </w:tc>
      </w:tr>
      <w:tr w:rsidR="00161B6A" w:rsidTr="00D37B62">
        <w:trPr>
          <w:jc w:val="center"/>
        </w:trPr>
        <w:tc>
          <w:tcPr>
            <w:tcW w:w="2257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Pixel size (microns)</w:t>
            </w:r>
          </w:p>
        </w:tc>
        <w:tc>
          <w:tcPr>
            <w:tcW w:w="1791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9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25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25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25</w:t>
            </w:r>
          </w:p>
        </w:tc>
      </w:tr>
      <w:tr w:rsidR="00161B6A" w:rsidTr="00D37B62">
        <w:trPr>
          <w:jc w:val="center"/>
        </w:trPr>
        <w:tc>
          <w:tcPr>
            <w:tcW w:w="2257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Focal length (mm)</w:t>
            </w:r>
          </w:p>
        </w:tc>
        <w:tc>
          <w:tcPr>
            <w:tcW w:w="1791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55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25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25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25</w:t>
            </w:r>
          </w:p>
        </w:tc>
      </w:tr>
      <w:tr w:rsidR="00161B6A" w:rsidTr="00D37B62">
        <w:trPr>
          <w:jc w:val="center"/>
        </w:trPr>
        <w:tc>
          <w:tcPr>
            <w:tcW w:w="2257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FOV (deg)</w:t>
            </w:r>
          </w:p>
        </w:tc>
        <w:tc>
          <w:tcPr>
            <w:tcW w:w="1791" w:type="dxa"/>
          </w:tcPr>
          <w:p w:rsidR="00161B6A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37.5</w:t>
            </w:r>
          </w:p>
        </w:tc>
        <w:tc>
          <w:tcPr>
            <w:tcW w:w="1589" w:type="dxa"/>
          </w:tcPr>
          <w:p w:rsidR="00161B6A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37</w:t>
            </w:r>
          </w:p>
        </w:tc>
        <w:tc>
          <w:tcPr>
            <w:tcW w:w="1589" w:type="dxa"/>
          </w:tcPr>
          <w:p w:rsidR="00161B6A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37</w:t>
            </w:r>
          </w:p>
        </w:tc>
        <w:tc>
          <w:tcPr>
            <w:tcW w:w="1589" w:type="dxa"/>
          </w:tcPr>
          <w:p w:rsidR="00161B6A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37</w:t>
            </w:r>
          </w:p>
        </w:tc>
      </w:tr>
      <w:tr w:rsidR="00161B6A" w:rsidTr="00D37B62">
        <w:trPr>
          <w:jc w:val="center"/>
        </w:trPr>
        <w:tc>
          <w:tcPr>
            <w:tcW w:w="2257" w:type="dxa"/>
          </w:tcPr>
          <w:p w:rsidR="00161B6A" w:rsidRPr="00884889" w:rsidRDefault="00B93C15" w:rsidP="00D37B62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Resolution </w:t>
            </w:r>
            <w:r w:rsidR="00161B6A" w:rsidRPr="00884889">
              <w:rPr>
                <w:sz w:val="20"/>
                <w:szCs w:val="20"/>
              </w:rPr>
              <w:t xml:space="preserve"> at 2,000' AGL</w:t>
            </w:r>
          </w:p>
        </w:tc>
        <w:tc>
          <w:tcPr>
            <w:tcW w:w="1791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4" (0.1m)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24" (0.6</w:t>
            </w:r>
            <w:r w:rsidR="00884889" w:rsidRPr="00884889">
              <w:rPr>
                <w:sz w:val="20"/>
                <w:szCs w:val="20"/>
              </w:rPr>
              <w:t>m)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24"</w:t>
            </w:r>
            <w:r w:rsidR="00884889" w:rsidRPr="00884889">
              <w:rPr>
                <w:sz w:val="20"/>
                <w:szCs w:val="20"/>
              </w:rPr>
              <w:t>(0.6m)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24"</w:t>
            </w:r>
            <w:r w:rsidR="00884889" w:rsidRPr="00884889">
              <w:rPr>
                <w:sz w:val="20"/>
                <w:szCs w:val="20"/>
              </w:rPr>
              <w:t>(0.6m)</w:t>
            </w:r>
          </w:p>
        </w:tc>
      </w:tr>
      <w:tr w:rsidR="00884889" w:rsidTr="00D37B62">
        <w:trPr>
          <w:jc w:val="center"/>
        </w:trPr>
        <w:tc>
          <w:tcPr>
            <w:tcW w:w="2257" w:type="dxa"/>
          </w:tcPr>
          <w:p w:rsidR="00884889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Wavelength range</w:t>
            </w:r>
          </w:p>
        </w:tc>
        <w:tc>
          <w:tcPr>
            <w:tcW w:w="1791" w:type="dxa"/>
          </w:tcPr>
          <w:p w:rsidR="00884889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400 - 900 nm</w:t>
            </w:r>
          </w:p>
        </w:tc>
        <w:tc>
          <w:tcPr>
            <w:tcW w:w="1589" w:type="dxa"/>
          </w:tcPr>
          <w:p w:rsidR="00884889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1100 - 1700 nm</w:t>
            </w:r>
          </w:p>
        </w:tc>
        <w:tc>
          <w:tcPr>
            <w:tcW w:w="1589" w:type="dxa"/>
          </w:tcPr>
          <w:p w:rsidR="00884889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3000 - 5000 nm</w:t>
            </w:r>
          </w:p>
        </w:tc>
        <w:tc>
          <w:tcPr>
            <w:tcW w:w="1589" w:type="dxa"/>
          </w:tcPr>
          <w:p w:rsidR="00884889" w:rsidRPr="00884889" w:rsidRDefault="00884889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8000 - 9200 nm</w:t>
            </w:r>
          </w:p>
        </w:tc>
      </w:tr>
      <w:tr w:rsidR="00161B6A" w:rsidTr="00D37B62">
        <w:trPr>
          <w:jc w:val="center"/>
        </w:trPr>
        <w:tc>
          <w:tcPr>
            <w:tcW w:w="2257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Temperature Sensitivity</w:t>
            </w:r>
          </w:p>
        </w:tc>
        <w:tc>
          <w:tcPr>
            <w:tcW w:w="1791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0.05K</w:t>
            </w:r>
          </w:p>
        </w:tc>
        <w:tc>
          <w:tcPr>
            <w:tcW w:w="1589" w:type="dxa"/>
          </w:tcPr>
          <w:p w:rsidR="00161B6A" w:rsidRPr="00884889" w:rsidRDefault="00161B6A" w:rsidP="00D37B62">
            <w:pPr>
              <w:contextualSpacing/>
              <w:rPr>
                <w:sz w:val="20"/>
                <w:szCs w:val="20"/>
              </w:rPr>
            </w:pPr>
            <w:r w:rsidRPr="00884889">
              <w:rPr>
                <w:sz w:val="20"/>
                <w:szCs w:val="20"/>
              </w:rPr>
              <w:t>0.05K</w:t>
            </w:r>
          </w:p>
        </w:tc>
      </w:tr>
    </w:tbl>
    <w:p w:rsidR="00161B6A" w:rsidRDefault="00884889" w:rsidP="00D37B62">
      <w:pPr>
        <w:contextualSpacing/>
        <w:jc w:val="center"/>
      </w:pPr>
      <w:r>
        <w:t>WASP Camera Specifications</w:t>
      </w:r>
    </w:p>
    <w:p w:rsidR="00E05339" w:rsidRDefault="00B627AA" w:rsidP="00D37B62">
      <w:pPr>
        <w:contextualSpacing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23495</wp:posOffset>
            </wp:positionV>
            <wp:extent cx="2600325" cy="1885950"/>
            <wp:effectExtent l="19050" t="0" r="9525" b="0"/>
            <wp:wrapTight wrapText="bothSides">
              <wp:wrapPolygon edited="0">
                <wp:start x="-158" y="0"/>
                <wp:lineTo x="-158" y="21382"/>
                <wp:lineTo x="21679" y="21382"/>
                <wp:lineTo x="21679" y="0"/>
                <wp:lineTo x="-158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88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5339" w:rsidRDefault="00E05339" w:rsidP="00D37B62">
      <w:pPr>
        <w:contextualSpacing/>
      </w:pPr>
    </w:p>
    <w:p w:rsidR="00E05339" w:rsidRDefault="00E05339" w:rsidP="00D37B62">
      <w:pPr>
        <w:contextualSpacing/>
      </w:pPr>
    </w:p>
    <w:p w:rsidR="00E05339" w:rsidRDefault="00E05339" w:rsidP="00D37B62">
      <w:pPr>
        <w:contextualSpacing/>
      </w:pPr>
    </w:p>
    <w:p w:rsidR="00E05339" w:rsidRDefault="00E05339" w:rsidP="00D37B62">
      <w:pPr>
        <w:contextualSpacing/>
      </w:pPr>
    </w:p>
    <w:p w:rsidR="00E05339" w:rsidRDefault="00E05339" w:rsidP="00D37B62">
      <w:pPr>
        <w:contextualSpacing/>
      </w:pPr>
    </w:p>
    <w:p w:rsidR="00D37B62" w:rsidRDefault="00D37B62" w:rsidP="00D37B62">
      <w:pPr>
        <w:contextualSpacing/>
        <w:jc w:val="center"/>
      </w:pPr>
    </w:p>
    <w:p w:rsidR="00D37B62" w:rsidRDefault="00D37B62" w:rsidP="00D37B62">
      <w:pPr>
        <w:contextualSpacing/>
        <w:jc w:val="center"/>
      </w:pPr>
    </w:p>
    <w:p w:rsidR="00D37B62" w:rsidRDefault="00D37B62" w:rsidP="00D37B62">
      <w:pPr>
        <w:contextualSpacing/>
        <w:jc w:val="center"/>
      </w:pPr>
    </w:p>
    <w:p w:rsidR="00D37B62" w:rsidRDefault="00D37B62" w:rsidP="00D37B62">
      <w:pPr>
        <w:contextualSpacing/>
        <w:jc w:val="center"/>
      </w:pPr>
    </w:p>
    <w:p w:rsidR="00E05339" w:rsidRDefault="00B627AA" w:rsidP="00D37B62">
      <w:pPr>
        <w:contextualSpacing/>
        <w:jc w:val="center"/>
      </w:pPr>
      <w:r>
        <w:t>WASP Sensor Suite of 4 Cameras</w:t>
      </w:r>
    </w:p>
    <w:p w:rsidR="00B627AA" w:rsidRDefault="00B627AA" w:rsidP="00D37B62">
      <w:pPr>
        <w:contextualSpacing/>
      </w:pPr>
    </w:p>
    <w:p w:rsidR="00D37B62" w:rsidRDefault="00D37B62" w:rsidP="00D37B62">
      <w:pPr>
        <w:contextualSpacing/>
        <w:rPr>
          <w:b/>
        </w:rPr>
      </w:pPr>
    </w:p>
    <w:p w:rsidR="00D37B62" w:rsidRDefault="00D37B62" w:rsidP="00D37B62">
      <w:pPr>
        <w:contextualSpacing/>
        <w:rPr>
          <w:b/>
        </w:rPr>
      </w:pPr>
    </w:p>
    <w:p w:rsidR="00D37B62" w:rsidRDefault="00D37B62" w:rsidP="00D37B62">
      <w:pPr>
        <w:contextualSpacing/>
        <w:rPr>
          <w:b/>
        </w:rPr>
      </w:pPr>
    </w:p>
    <w:p w:rsidR="00D37B62" w:rsidRDefault="00D37B62" w:rsidP="00D37B62">
      <w:pPr>
        <w:contextualSpacing/>
        <w:rPr>
          <w:b/>
        </w:rPr>
      </w:pPr>
    </w:p>
    <w:p w:rsidR="00884889" w:rsidRPr="00D37B62" w:rsidRDefault="00884889" w:rsidP="00D37B62">
      <w:pPr>
        <w:contextualSpacing/>
        <w:rPr>
          <w:b/>
        </w:rPr>
      </w:pPr>
      <w:r w:rsidRPr="00D37B62">
        <w:rPr>
          <w:b/>
        </w:rPr>
        <w:lastRenderedPageBreak/>
        <w:t>Mapping Capability</w:t>
      </w:r>
    </w:p>
    <w:p w:rsidR="00884889" w:rsidRDefault="00884889" w:rsidP="00D37B62">
      <w:pPr>
        <w:contextualSpacing/>
      </w:pPr>
      <w:r>
        <w:t>WASP can deliver high mapping accuracy without ground control using a precision inertial navigation system (INS), a POS/AV 310 from Applanix. The INS combined with precision calibration of each camera allows the WASP system to provide geo</w:t>
      </w:r>
      <w:r w:rsidR="00221F1F">
        <w:t>-</w:t>
      </w:r>
      <w:r>
        <w:t>location accuracy errors without ground control of &lt; 1 m when using differential GPS . RIT has also developed a streamlined automated data processing workflow that produces ortho-photos in real-time onboard the aircraft.</w:t>
      </w:r>
    </w:p>
    <w:p w:rsidR="00D37B62" w:rsidRDefault="00D37B62" w:rsidP="00D37B62">
      <w:pPr>
        <w:contextualSpacing/>
        <w:rPr>
          <w:b/>
        </w:rPr>
      </w:pPr>
    </w:p>
    <w:p w:rsidR="00884889" w:rsidRPr="00D37B62" w:rsidRDefault="00884889" w:rsidP="00D37B62">
      <w:pPr>
        <w:contextualSpacing/>
        <w:rPr>
          <w:b/>
        </w:rPr>
      </w:pPr>
      <w:r w:rsidRPr="00D37B62">
        <w:rPr>
          <w:b/>
        </w:rPr>
        <w:t>Thermal Mapping capability</w:t>
      </w:r>
    </w:p>
    <w:p w:rsidR="00884889" w:rsidRDefault="00884889" w:rsidP="00D37B62">
      <w:pPr>
        <w:contextualSpacing/>
      </w:pPr>
      <w:r>
        <w:t>WASP employs a unique in-flight thermal calibration capability that allows the thermal infrared cameras (midwave and lon</w:t>
      </w:r>
      <w:r w:rsidR="00E05339">
        <w:t xml:space="preserve">g wave) to measure scene temperature directly from the imagery within the limits of knowledge about target emissivity and atmospheric effects. </w:t>
      </w:r>
    </w:p>
    <w:p w:rsidR="00D37B62" w:rsidRDefault="00D37B62" w:rsidP="00D37B62">
      <w:pPr>
        <w:contextualSpacing/>
        <w:rPr>
          <w:b/>
        </w:rPr>
      </w:pPr>
    </w:p>
    <w:p w:rsidR="00B627AA" w:rsidRPr="00D37B62" w:rsidRDefault="00B627AA" w:rsidP="00D37B62">
      <w:pPr>
        <w:contextualSpacing/>
        <w:rPr>
          <w:b/>
          <w:u w:val="single"/>
        </w:rPr>
      </w:pPr>
      <w:r w:rsidRPr="00D37B62">
        <w:rPr>
          <w:b/>
          <w:u w:val="single"/>
        </w:rPr>
        <w:t>Limitations and Constraints</w:t>
      </w:r>
    </w:p>
    <w:p w:rsidR="00B627AA" w:rsidRPr="00D37B62" w:rsidRDefault="00B627AA" w:rsidP="00D37B62">
      <w:pPr>
        <w:contextualSpacing/>
        <w:rPr>
          <w:b/>
        </w:rPr>
      </w:pPr>
      <w:r w:rsidRPr="00D37B62">
        <w:rPr>
          <w:b/>
        </w:rPr>
        <w:t xml:space="preserve">Environmental </w:t>
      </w:r>
    </w:p>
    <w:p w:rsidR="00B627AA" w:rsidRDefault="00B627AA" w:rsidP="00D37B62">
      <w:pPr>
        <w:contextualSpacing/>
      </w:pPr>
      <w:r>
        <w:t>While the WASP system has demonstrated robustness over a wide range of environmental conditions, the system should not be operated in precipitation or conditions with high levels of airborne contaminants (heavy dust or smoke) .</w:t>
      </w:r>
    </w:p>
    <w:p w:rsidR="00D37B62" w:rsidRDefault="00D37B62" w:rsidP="00D37B62">
      <w:pPr>
        <w:contextualSpacing/>
        <w:rPr>
          <w:b/>
        </w:rPr>
      </w:pPr>
    </w:p>
    <w:p w:rsidR="00B627AA" w:rsidRPr="00D37B62" w:rsidRDefault="00B627AA" w:rsidP="00D37B62">
      <w:pPr>
        <w:contextualSpacing/>
        <w:rPr>
          <w:b/>
        </w:rPr>
      </w:pPr>
      <w:r w:rsidRPr="00D37B62">
        <w:rPr>
          <w:b/>
        </w:rPr>
        <w:t>Altitude/Speed</w:t>
      </w:r>
    </w:p>
    <w:p w:rsidR="00B627AA" w:rsidRDefault="00B627AA" w:rsidP="00D37B62">
      <w:pPr>
        <w:contextualSpacing/>
      </w:pPr>
      <w:r>
        <w:t>To avoid gaps in coverage, there is an altitude dependent  maximum ground speed that is a result of the relatively slow frame rate of the high resolution color camera</w:t>
      </w:r>
      <w:r w:rsidR="00E13F7D">
        <w:t xml:space="preserve">. The maximum frame rate for the currently installed camera is about 1 frame every 4 seconds. This results in a minimum altitude of 2,000' AGL when operating at a ground speed of 110 kts. </w:t>
      </w:r>
      <w:r w:rsidR="00167200">
        <w:t>Higher ground speeds would require a higher operating altitude or lower altitude would require lower ground speed.</w:t>
      </w:r>
    </w:p>
    <w:p w:rsidR="00D37B62" w:rsidRDefault="00D37B62" w:rsidP="00D37B62">
      <w:pPr>
        <w:contextualSpacing/>
        <w:rPr>
          <w:b/>
        </w:rPr>
      </w:pPr>
    </w:p>
    <w:p w:rsidR="00167200" w:rsidRPr="00D37B62" w:rsidRDefault="00167200" w:rsidP="00D37B62">
      <w:pPr>
        <w:contextualSpacing/>
        <w:rPr>
          <w:b/>
          <w:u w:val="single"/>
        </w:rPr>
      </w:pPr>
      <w:r w:rsidRPr="00D37B62">
        <w:rPr>
          <w:b/>
          <w:u w:val="single"/>
        </w:rPr>
        <w:t>Mass Properties</w:t>
      </w:r>
    </w:p>
    <w:p w:rsidR="00167200" w:rsidRDefault="00167200" w:rsidP="00D37B62">
      <w:pPr>
        <w:contextualSpacing/>
      </w:pPr>
      <w:r>
        <w:t>The WASP system as configured (cameras, INS, electronics) weighs about 250 lbs.</w:t>
      </w:r>
    </w:p>
    <w:p w:rsidR="00167200" w:rsidRDefault="00167200" w:rsidP="00D37B62">
      <w:pPr>
        <w:contextualSpacing/>
      </w:pPr>
    </w:p>
    <w:sectPr w:rsidR="00167200" w:rsidSect="003A3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0C5"/>
    <w:rsid w:val="000F5307"/>
    <w:rsid w:val="00161B6A"/>
    <w:rsid w:val="00167200"/>
    <w:rsid w:val="00221F1F"/>
    <w:rsid w:val="0022754C"/>
    <w:rsid w:val="003A3B27"/>
    <w:rsid w:val="004F63B9"/>
    <w:rsid w:val="007640C5"/>
    <w:rsid w:val="0081062A"/>
    <w:rsid w:val="00884889"/>
    <w:rsid w:val="00B627AA"/>
    <w:rsid w:val="00B93C15"/>
    <w:rsid w:val="00D0121A"/>
    <w:rsid w:val="00D37B62"/>
    <w:rsid w:val="00E05339"/>
    <w:rsid w:val="00E13F7D"/>
    <w:rsid w:val="00F7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2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LIAS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McKeown</dc:creator>
  <cp:lastModifiedBy>NinaRaqueno</cp:lastModifiedBy>
  <cp:revision>2</cp:revision>
  <dcterms:created xsi:type="dcterms:W3CDTF">2013-02-27T14:18:00Z</dcterms:created>
  <dcterms:modified xsi:type="dcterms:W3CDTF">2013-02-27T14:18:00Z</dcterms:modified>
</cp:coreProperties>
</file>